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C6FA2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A2" w:rsidRDefault="00CC6FA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FA2" w:rsidRDefault="00CC6FA2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C6FA2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A2" w:rsidRDefault="00CC6FA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A2" w:rsidRDefault="00CC6FA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6FA2" w:rsidRDefault="00CC6FA2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CC6FA2" w:rsidRPr="0019354D" w:rsidTr="007D73A9">
        <w:tc>
          <w:tcPr>
            <w:tcW w:w="1242" w:type="dxa"/>
            <w:shd w:val="clear" w:color="auto" w:fill="17365D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19354D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17365D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19354D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17365D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19354D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CC6FA2">
              <w:rPr>
                <w:rFonts w:eastAsia="Times New Roman"/>
                <w:lang w:eastAsia="hr-HR"/>
              </w:rPr>
              <w:t>Unit</w:t>
            </w:r>
            <w:proofErr w:type="spellEnd"/>
            <w:r w:rsidRPr="00CC6FA2">
              <w:rPr>
                <w:rFonts w:eastAsia="Times New Roman"/>
                <w:lang w:eastAsia="hr-HR"/>
              </w:rPr>
              <w:t xml:space="preserve"> 4 </w:t>
            </w:r>
            <w:proofErr w:type="spellStart"/>
            <w:r w:rsidRPr="00CC6FA2">
              <w:rPr>
                <w:rFonts w:eastAsia="Times New Roman"/>
                <w:lang w:eastAsia="hr-HR"/>
              </w:rPr>
              <w:t>Lesson</w:t>
            </w:r>
            <w:proofErr w:type="spellEnd"/>
            <w:r w:rsidRPr="00CC6FA2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9354D">
              <w:rPr>
                <w:rFonts w:eastAsia="Times New Roman"/>
                <w:b/>
                <w:lang w:eastAsia="hr-HR"/>
              </w:rPr>
              <w:t>My</w:t>
            </w:r>
            <w:proofErr w:type="spellEnd"/>
            <w:r w:rsidRPr="0019354D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9354D">
              <w:rPr>
                <w:rFonts w:eastAsia="Times New Roman"/>
                <w:b/>
                <w:lang w:eastAsia="hr-HR"/>
              </w:rPr>
              <w:t>hobby</w:t>
            </w:r>
            <w:proofErr w:type="spellEnd"/>
          </w:p>
        </w:tc>
      </w:tr>
      <w:tr w:rsidR="00CC6FA2" w:rsidRPr="0019354D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17365D"/>
            <w:vAlign w:val="center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19354D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17365D"/>
            <w:vAlign w:val="bottom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19354D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19354D">
              <w:rPr>
                <w:rFonts w:eastAsia="Times New Roman"/>
                <w:i/>
                <w:lang w:eastAsia="hr-HR"/>
              </w:rPr>
              <w:t>Izvanškolske aktivnosti</w:t>
            </w:r>
          </w:p>
        </w:tc>
      </w:tr>
      <w:tr w:rsidR="00CC6FA2" w:rsidRPr="0019354D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17365D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17365D"/>
            <w:vAlign w:val="bottom"/>
          </w:tcPr>
          <w:p w:rsidR="00CC6FA2" w:rsidRPr="0019354D" w:rsidRDefault="00CC6FA2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354D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9354D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9354D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9354D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19354D">
              <w:rPr>
                <w:rFonts w:eastAsia="Times New Roman"/>
                <w:i/>
                <w:lang w:eastAsia="hr-HR"/>
              </w:rPr>
              <w:t xml:space="preserve"> (</w:t>
            </w:r>
            <w:proofErr w:type="spellStart"/>
            <w:r w:rsidRPr="0019354D">
              <w:rPr>
                <w:rFonts w:eastAsia="Times New Roman"/>
                <w:i/>
                <w:lang w:eastAsia="hr-HR"/>
              </w:rPr>
              <w:t>affirmative</w:t>
            </w:r>
            <w:proofErr w:type="spellEnd"/>
            <w:r w:rsidRPr="0019354D">
              <w:rPr>
                <w:rFonts w:eastAsia="Times New Roman"/>
                <w:i/>
                <w:lang w:eastAsia="hr-HR"/>
              </w:rPr>
              <w:t xml:space="preserve">, negative, </w:t>
            </w:r>
            <w:proofErr w:type="spellStart"/>
            <w:r w:rsidRPr="0019354D">
              <w:rPr>
                <w:rFonts w:eastAsia="Times New Roman"/>
                <w:i/>
                <w:lang w:eastAsia="hr-HR"/>
              </w:rPr>
              <w:t>interrogative</w:t>
            </w:r>
            <w:proofErr w:type="spellEnd"/>
            <w:r w:rsidRPr="0019354D">
              <w:rPr>
                <w:rFonts w:eastAsia="Times New Roman"/>
                <w:i/>
                <w:lang w:eastAsia="hr-HR"/>
              </w:rPr>
              <w:t>)</w:t>
            </w:r>
          </w:p>
        </w:tc>
      </w:tr>
      <w:tr w:rsidR="00CC6FA2" w:rsidRPr="0019354D" w:rsidTr="007D73A9">
        <w:tc>
          <w:tcPr>
            <w:tcW w:w="1783" w:type="dxa"/>
            <w:gridSpan w:val="2"/>
            <w:shd w:val="clear" w:color="auto" w:fill="17365D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CC6FA2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CC6FA2" w:rsidRPr="00CC6FA2" w:rsidRDefault="00CC6FA2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CC6FA2" w:rsidRPr="00CC6FA2" w:rsidRDefault="00CC6FA2" w:rsidP="007D73A9">
            <w:pPr>
              <w:pStyle w:val="Default"/>
              <w:rPr>
                <w:sz w:val="20"/>
                <w:szCs w:val="20"/>
              </w:rPr>
            </w:pPr>
            <w:r w:rsidRPr="00CC6FA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CC6FA2" w:rsidRPr="0019354D" w:rsidTr="007D73A9">
        <w:tc>
          <w:tcPr>
            <w:tcW w:w="1783" w:type="dxa"/>
            <w:gridSpan w:val="2"/>
            <w:shd w:val="clear" w:color="auto" w:fill="17365D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19354D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učiteljevu pripremu i pomoć  govorom opisuje fotografije koje prikazuju hobije njegovih vršnjaka.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tekstova o hobijima svojih vršnjaka. 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sudjeluje u kratkom i jednostavnom razgovoru o sebi najdražem hobiju. 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strukturu i sadržaj pisanog opisa svojeg hobija.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pisanim putem i uz vođenje opisuje svoj hobi.</w:t>
            </w:r>
          </w:p>
        </w:tc>
      </w:tr>
      <w:tr w:rsidR="00CC6FA2" w:rsidRPr="0019354D" w:rsidTr="007D73A9">
        <w:trPr>
          <w:trHeight w:val="1216"/>
        </w:trPr>
        <w:tc>
          <w:tcPr>
            <w:tcW w:w="1783" w:type="dxa"/>
            <w:gridSpan w:val="2"/>
            <w:shd w:val="clear" w:color="auto" w:fill="17365D"/>
          </w:tcPr>
          <w:p w:rsidR="00CC6FA2" w:rsidRPr="0019354D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19354D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19354D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19354D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A.2.1.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prema savjetu odabire odgovarajuću digitalnu tehnologiju za obavljanje zadatka.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A.2.2.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se samostalno koristi njemu poznatim uređajima i programima.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B.2.2.</w:t>
            </w:r>
          </w:p>
          <w:p w:rsidR="00CC6FA2" w:rsidRPr="00CC6FA2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povremenu učiteljevu pomoć surađuje s poznatim osobama u sigurnome digitalnom okružju.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CC6FA2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A2">
              <w:rPr>
                <w:rFonts w:ascii="Times New Roman" w:hAnsi="Times New Roman"/>
                <w:sz w:val="20"/>
                <w:szCs w:val="20"/>
              </w:rPr>
              <w:t>Učenik uz učiteljevu pomoć ili samostalno djelotvorno provodi jednostavno pretraživanje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A2">
              <w:rPr>
                <w:rFonts w:ascii="Times New Roman" w:hAnsi="Times New Roman"/>
                <w:sz w:val="20"/>
                <w:szCs w:val="20"/>
              </w:rPr>
              <w:t>informacija u digitalnome okružju.</w:t>
            </w:r>
          </w:p>
          <w:p w:rsidR="00CC6FA2" w:rsidRPr="00CC6FA2" w:rsidRDefault="00CC6FA2" w:rsidP="007D73A9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A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D.2.1.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se izražava kreativno i planira svoje djelovanje jednostavnim metodama za poticanje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kreativnosti u IKT okružju.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D.2.3.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sam ili u suradnji s drugima preoblikuje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C6FA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postojeća digitalna rješenja ili stvara nove uratke i smišlja ideje.</w:t>
            </w:r>
            <w:r w:rsidRPr="00CC6F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A2">
              <w:rPr>
                <w:rFonts w:ascii="Times New Roman" w:hAnsi="Times New Roman"/>
                <w:sz w:val="20"/>
                <w:szCs w:val="20"/>
              </w:rPr>
              <w:t>pod B.2.2.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A2">
              <w:rPr>
                <w:rFonts w:ascii="Times New Roman" w:hAnsi="Times New Roman"/>
                <w:sz w:val="20"/>
                <w:szCs w:val="20"/>
              </w:rPr>
              <w:t>Planira i upravlja aktivnostima.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C6FA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CC6FA2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A2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CC6FA2" w:rsidRPr="00CC6FA2" w:rsidRDefault="00CC6FA2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6FA2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CC6FA2" w:rsidRPr="00CC6FA2" w:rsidRDefault="00CC6FA2" w:rsidP="007D73A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6FA2" w:rsidRPr="0019354D" w:rsidTr="007D73A9">
        <w:tc>
          <w:tcPr>
            <w:tcW w:w="1783" w:type="dxa"/>
            <w:gridSpan w:val="2"/>
            <w:shd w:val="clear" w:color="auto" w:fill="17365D"/>
          </w:tcPr>
          <w:p w:rsidR="00CC6FA2" w:rsidRPr="00E7650C" w:rsidRDefault="00CC6FA2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E7650C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E7650C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E7650C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CC6FA2" w:rsidRPr="0019354D" w:rsidRDefault="00CC6FA2" w:rsidP="007D73A9">
            <w:pPr>
              <w:spacing w:after="0" w:line="240" w:lineRule="auto"/>
              <w:textAlignment w:val="baseline"/>
            </w:pPr>
            <w:r w:rsidRPr="0019354D">
              <w:t xml:space="preserve">Interaktivna igra – </w:t>
            </w:r>
            <w:r>
              <w:t xml:space="preserve">Who </w:t>
            </w:r>
            <w:proofErr w:type="spellStart"/>
            <w:r>
              <w:t>says</w:t>
            </w:r>
            <w:proofErr w:type="spellEnd"/>
            <w:r>
              <w:t xml:space="preserve"> it</w:t>
            </w:r>
            <w:r w:rsidRPr="0019354D">
              <w:t xml:space="preserve">? </w:t>
            </w:r>
          </w:p>
          <w:p w:rsidR="00CC6FA2" w:rsidRPr="0019354D" w:rsidRDefault="00CC6FA2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19354D">
              <w:rPr>
                <w:rFonts w:eastAsia="Times New Roman"/>
                <w:bCs/>
                <w:lang w:eastAsia="hr-HR"/>
              </w:rPr>
              <w:t xml:space="preserve">Zadatak razumijevanja čitanjem –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Hobbies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of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celebrities</w:t>
            </w:r>
            <w:proofErr w:type="spellEnd"/>
          </w:p>
        </w:tc>
      </w:tr>
    </w:tbl>
    <w:p w:rsidR="00CC6FA2" w:rsidRPr="00CC6FA2" w:rsidRDefault="00CC6FA2" w:rsidP="00CC6FA2">
      <w:pPr>
        <w:rPr>
          <w:b/>
          <w:sz w:val="16"/>
          <w:szCs w:val="16"/>
        </w:rPr>
      </w:pPr>
    </w:p>
    <w:p w:rsidR="00CC6FA2" w:rsidRPr="000E0A44" w:rsidRDefault="00CC6FA2" w:rsidP="00CC6FA2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C6FA2" w:rsidRPr="000E0A44" w:rsidTr="007D73A9">
        <w:tc>
          <w:tcPr>
            <w:tcW w:w="1809" w:type="dxa"/>
            <w:tcBorders>
              <w:top w:val="nil"/>
              <w:left w:val="nil"/>
            </w:tcBorders>
          </w:tcPr>
          <w:p w:rsidR="00CC6FA2" w:rsidRPr="000E0A44" w:rsidRDefault="00CC6FA2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C6FA2" w:rsidRPr="000E0A44" w:rsidRDefault="00CC6FA2" w:rsidP="007D73A9">
            <w:pPr>
              <w:spacing w:after="0" w:line="240" w:lineRule="auto"/>
            </w:pPr>
            <w:r>
              <w:t xml:space="preserve">Dobrovoljci pročitaju dijaloge koje su zapisali za domaću zadaću. Drugi učenici pozorno slušaju i daju im povratnu informaciju o tome što su dobro napravili, a što su mogli bolje. </w:t>
            </w:r>
          </w:p>
        </w:tc>
      </w:tr>
      <w:tr w:rsidR="00CC6FA2" w:rsidRPr="000E0A44" w:rsidTr="007D73A9">
        <w:tc>
          <w:tcPr>
            <w:tcW w:w="1809" w:type="dxa"/>
            <w:tcBorders>
              <w:left w:val="nil"/>
            </w:tcBorders>
          </w:tcPr>
          <w:p w:rsidR="00CC6FA2" w:rsidRPr="000E0A44" w:rsidRDefault="00CC6FA2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CC6FA2" w:rsidRPr="000E0A44" w:rsidRDefault="00CC6FA2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CC6FA2" w:rsidRPr="000E0A44" w:rsidRDefault="00CC6FA2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CC6FA2" w:rsidRPr="00711543" w:rsidRDefault="00CC6FA2" w:rsidP="00CC6FA2">
            <w:pPr>
              <w:numPr>
                <w:ilvl w:val="0"/>
                <w:numId w:val="1"/>
              </w:numPr>
              <w:spacing w:after="0" w:line="240" w:lineRule="auto"/>
              <w:ind w:left="601" w:hanging="283"/>
              <w:rPr>
                <w:i/>
                <w:lang w:val="en-GB"/>
              </w:rPr>
            </w:pPr>
            <w:r>
              <w:t xml:space="preserve">a) </w:t>
            </w:r>
            <w:r w:rsidRPr="000E0A44">
              <w:t xml:space="preserve">Učitelj </w:t>
            </w:r>
            <w:r>
              <w:t xml:space="preserve">usmjeri učenike na 59. stranicu u udžbeniku, pa ih pita: </w:t>
            </w:r>
            <w:r w:rsidRPr="00711543">
              <w:rPr>
                <w:i/>
                <w:lang w:val="en-GB"/>
              </w:rPr>
              <w:t>What can you see? What do they look like? What do you think they're like?</w:t>
            </w:r>
            <w:r>
              <w:rPr>
                <w:i/>
              </w:rPr>
              <w:t xml:space="preserve"> </w:t>
            </w:r>
            <w:r w:rsidRPr="00711543">
              <w:rPr>
                <w:i/>
                <w:lang w:val="en-GB"/>
              </w:rPr>
              <w:t xml:space="preserve">What are their hobbies? </w:t>
            </w:r>
            <w:r>
              <w:rPr>
                <w:i/>
                <w:lang w:val="en-GB"/>
              </w:rPr>
              <w:t>What do you think their hobbies are like? What do they do?</w:t>
            </w:r>
          </w:p>
          <w:p w:rsidR="00CC6FA2" w:rsidRDefault="00CC6FA2" w:rsidP="00CC6FA2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b) Učenici odaberu jedan od dvaju tekstova, pročitaju ga i popune tablice. Dobrovoljci pročitaju tekstove naglas, a onda drugi dobrovoljci pročitaju podatke koje su upisali u tablice. </w:t>
            </w:r>
          </w:p>
          <w:p w:rsidR="00CC6FA2" w:rsidRDefault="00CC6FA2" w:rsidP="00CC6FA2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c) Učitelj usmjeri učenike na treći zadatak. U malim grupama učenici razgovaraju i odgovaraju na pitanja u trećem zadatku. Dobrovoljci podijele svoje odgovore s učiteljem i ostatkom razreda. </w:t>
            </w:r>
          </w:p>
          <w:p w:rsidR="00CC6FA2" w:rsidRPr="000E0A44" w:rsidRDefault="00CC6FA2" w:rsidP="00CC6FA2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d) Učitelj usmjeri učenike na drugi zadatak na stranici 59. u radnoj bilježnici. Učenici u pisanom obliku i, odgovarajući na pitanja iz udžbenika, opisuju svoj hobi.    </w:t>
            </w:r>
          </w:p>
        </w:tc>
      </w:tr>
      <w:tr w:rsidR="00CC6FA2" w:rsidRPr="000E0A44" w:rsidTr="007D73A9">
        <w:tc>
          <w:tcPr>
            <w:tcW w:w="1809" w:type="dxa"/>
            <w:tcBorders>
              <w:left w:val="nil"/>
              <w:bottom w:val="nil"/>
            </w:tcBorders>
          </w:tcPr>
          <w:p w:rsidR="00CC6FA2" w:rsidRPr="000E0A44" w:rsidRDefault="00CC6FA2" w:rsidP="007D73A9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CC6FA2" w:rsidRPr="00CC6FA2" w:rsidRDefault="00CC6FA2" w:rsidP="00CC6FA2">
            <w:pPr>
              <w:spacing w:after="0" w:line="240" w:lineRule="auto"/>
              <w:textAlignment w:val="baseline"/>
            </w:pPr>
            <w:r w:rsidRPr="000E0A44">
              <w:t xml:space="preserve"> </w:t>
            </w:r>
            <w:r>
              <w:t xml:space="preserve">Učenici u malim grupama čitaju napisane sastavke. Dobrovoljci pročitaju svoje sastavke pred razredom. </w:t>
            </w:r>
          </w:p>
        </w:tc>
      </w:tr>
    </w:tbl>
    <w:p w:rsidR="00CC6FA2" w:rsidRPr="000E0A44" w:rsidRDefault="00CC6FA2" w:rsidP="00CC6FA2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prvi zadatak u radnoj bilježnici na 59. stranici</w:t>
      </w:r>
      <w:r w:rsidRPr="000E0A44">
        <w:rPr>
          <w:i/>
          <w:sz w:val="24"/>
          <w:szCs w:val="24"/>
        </w:rPr>
        <w:t xml:space="preserve">. </w:t>
      </w:r>
    </w:p>
    <w:p w:rsidR="00CC6FA2" w:rsidRDefault="00CC6FA2"/>
    <w:sectPr w:rsidR="00CC6FA2" w:rsidSect="00CC6FA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17B40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C6FA2"/>
    <w:rsid w:val="001F5598"/>
    <w:rsid w:val="00CC6FA2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F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6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4415</Characters>
  <Application>Microsoft Office Word</Application>
  <DocSecurity>0</DocSecurity>
  <Lines>36</Lines>
  <Paragraphs>10</Paragraphs>
  <ScaleCrop>false</ScaleCrop>
  <Company>HP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2021-12-10T09:52:00Z</dcterms:created>
  <dcterms:modified xsi:type="dcterms:W3CDTF">2021-12-10T09:54:00Z</dcterms:modified>
</cp:coreProperties>
</file>